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995" w:rsidRPr="00205995" w:rsidRDefault="00205995" w:rsidP="00205995">
      <w:pPr>
        <w:spacing w:line="240" w:lineRule="auto"/>
        <w:rPr>
          <w:rFonts w:ascii="Arial" w:eastAsia="Times New Roman" w:hAnsi="Arial" w:cs="Arial"/>
          <w:b/>
          <w:bCs/>
          <w:sz w:val="20"/>
          <w:szCs w:val="20"/>
        </w:rPr>
      </w:pPr>
      <w:bookmarkStart w:id="0" w:name="_GoBack"/>
      <w:bookmarkEnd w:id="0"/>
      <w:r w:rsidRPr="00205995">
        <w:rPr>
          <w:rFonts w:ascii="Arial" w:eastAsia="Times New Roman" w:hAnsi="Arial" w:cs="Arial"/>
          <w:b/>
          <w:bCs/>
          <w:sz w:val="20"/>
          <w:szCs w:val="20"/>
        </w:rPr>
        <w:t>Public Comment Submission Template</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Docket ID:</w:t>
      </w:r>
      <w:r w:rsidRPr="00205995">
        <w:rPr>
          <w:rFonts w:ascii="Arial" w:eastAsia="Times New Roman" w:hAnsi="Arial" w:cs="Arial"/>
          <w:sz w:val="20"/>
          <w:szCs w:val="20"/>
        </w:rPr>
        <w:t xml:space="preserve"> CMS-2026-3235</w:t>
      </w:r>
      <w:r w:rsidRPr="00205995">
        <w:rPr>
          <w:rFonts w:ascii="Arial" w:eastAsia="Times New Roman" w:hAnsi="Arial" w:cs="Arial"/>
          <w:sz w:val="20"/>
          <w:szCs w:val="20"/>
        </w:rPr>
        <w:br/>
      </w:r>
      <w:r w:rsidRPr="00205995">
        <w:rPr>
          <w:rFonts w:ascii="Arial" w:eastAsia="Times New Roman" w:hAnsi="Arial" w:cs="Arial"/>
          <w:b/>
          <w:bCs/>
          <w:sz w:val="20"/>
          <w:szCs w:val="20"/>
        </w:rPr>
        <w:t>Regulatory Title:</w:t>
      </w:r>
      <w:r w:rsidRPr="00205995">
        <w:rPr>
          <w:rFonts w:ascii="Arial" w:eastAsia="Times New Roman" w:hAnsi="Arial" w:cs="Arial"/>
          <w:sz w:val="20"/>
          <w:szCs w:val="20"/>
        </w:rPr>
        <w:t xml:space="preserve"> Clinical Laboratory Improvement Amendments of 1988 (CLIA): Virtual Access, Gynecologic Cytology, and Personnel Qualifications</w:t>
      </w:r>
      <w:r w:rsidRPr="00205995">
        <w:rPr>
          <w:rFonts w:ascii="Arial" w:eastAsia="Times New Roman" w:hAnsi="Arial" w:cs="Arial"/>
          <w:sz w:val="20"/>
          <w:szCs w:val="20"/>
        </w:rPr>
        <w:br/>
      </w:r>
      <w:r w:rsidRPr="00205995">
        <w:rPr>
          <w:rFonts w:ascii="Arial" w:eastAsia="Times New Roman" w:hAnsi="Arial" w:cs="Arial"/>
          <w:b/>
          <w:bCs/>
          <w:sz w:val="20"/>
          <w:szCs w:val="20"/>
        </w:rPr>
        <w:t>Agency File Code:</w:t>
      </w:r>
      <w:r w:rsidRPr="00205995">
        <w:rPr>
          <w:rFonts w:ascii="Arial" w:eastAsia="Times New Roman" w:hAnsi="Arial" w:cs="Arial"/>
          <w:sz w:val="20"/>
          <w:szCs w:val="20"/>
        </w:rPr>
        <w:t xml:space="preserve"> CMS-3478-P</w:t>
      </w:r>
      <w:r w:rsidRPr="00205995">
        <w:rPr>
          <w:rFonts w:ascii="Arial" w:eastAsia="Times New Roman" w:hAnsi="Arial" w:cs="Arial"/>
          <w:sz w:val="20"/>
          <w:szCs w:val="20"/>
        </w:rPr>
        <w:br/>
      </w:r>
      <w:r w:rsidRPr="00205995">
        <w:rPr>
          <w:rFonts w:ascii="Arial" w:eastAsia="Times New Roman" w:hAnsi="Arial" w:cs="Arial"/>
          <w:b/>
          <w:bCs/>
          <w:sz w:val="20"/>
          <w:szCs w:val="20"/>
        </w:rPr>
        <w:t>Submitted By:</w:t>
      </w:r>
      <w:r w:rsidRPr="00205995">
        <w:rPr>
          <w:rFonts w:ascii="Arial" w:eastAsia="Times New Roman" w:hAnsi="Arial" w:cs="Arial"/>
          <w:sz w:val="20"/>
          <w:szCs w:val="20"/>
        </w:rPr>
        <w:t xml:space="preserve"> </w:t>
      </w:r>
      <w:r w:rsidRPr="00205995">
        <w:rPr>
          <w:rFonts w:ascii="Arial" w:eastAsia="Times New Roman" w:hAnsi="Arial" w:cs="Arial"/>
          <w:i/>
          <w:iCs/>
          <w:sz w:val="20"/>
          <w:szCs w:val="20"/>
        </w:rPr>
        <w:t xml:space="preserve">[Your Name, Degree, </w:t>
      </w:r>
      <w:proofErr w:type="gramStart"/>
      <w:r w:rsidRPr="00205995">
        <w:rPr>
          <w:rFonts w:ascii="Arial" w:eastAsia="Times New Roman" w:hAnsi="Arial" w:cs="Arial"/>
          <w:i/>
          <w:iCs/>
          <w:sz w:val="20"/>
          <w:szCs w:val="20"/>
        </w:rPr>
        <w:t>PA(</w:t>
      </w:r>
      <w:proofErr w:type="gramEnd"/>
      <w:r w:rsidRPr="00205995">
        <w:rPr>
          <w:rFonts w:ascii="Arial" w:eastAsia="Times New Roman" w:hAnsi="Arial" w:cs="Arial"/>
          <w:i/>
          <w:iCs/>
          <w:sz w:val="20"/>
          <w:szCs w:val="20"/>
        </w:rPr>
        <w:t>ASCP)</w:t>
      </w:r>
      <w:r w:rsidRPr="00205995">
        <w:rPr>
          <w:rFonts w:ascii="Arial" w:eastAsia="Times New Roman" w:hAnsi="Arial" w:cs="Arial"/>
          <w:i/>
          <w:iCs/>
          <w:sz w:val="20"/>
          <w:szCs w:val="20"/>
          <w:vertAlign w:val="superscript"/>
        </w:rPr>
        <w:t>CM</w:t>
      </w:r>
      <w:r w:rsidRPr="00205995">
        <w:rPr>
          <w:rFonts w:ascii="Arial" w:eastAsia="Times New Roman" w:hAnsi="Arial" w:cs="Arial"/>
          <w:i/>
          <w:iCs/>
          <w:sz w:val="20"/>
          <w:szCs w:val="20"/>
        </w:rPr>
        <w:t>]</w:t>
      </w:r>
      <w:r w:rsidRPr="00205995">
        <w:rPr>
          <w:rFonts w:ascii="Arial" w:eastAsia="Times New Roman" w:hAnsi="Arial" w:cs="Arial"/>
          <w:sz w:val="20"/>
          <w:szCs w:val="20"/>
        </w:rPr>
        <w:br/>
      </w:r>
      <w:r w:rsidRPr="00205995">
        <w:rPr>
          <w:rFonts w:ascii="Arial" w:eastAsia="Times New Roman" w:hAnsi="Arial" w:cs="Arial"/>
          <w:b/>
          <w:bCs/>
          <w:sz w:val="20"/>
          <w:szCs w:val="20"/>
        </w:rPr>
        <w:t>Role/Title:</w:t>
      </w:r>
      <w:r w:rsidRPr="00205995">
        <w:rPr>
          <w:rFonts w:ascii="Arial" w:eastAsia="Times New Roman" w:hAnsi="Arial" w:cs="Arial"/>
          <w:sz w:val="20"/>
          <w:szCs w:val="20"/>
        </w:rPr>
        <w:t xml:space="preserve"> Certified Pathologists' Assistant</w:t>
      </w:r>
      <w:r w:rsidRPr="00205995">
        <w:rPr>
          <w:rFonts w:ascii="Arial" w:eastAsia="Times New Roman" w:hAnsi="Arial" w:cs="Arial"/>
          <w:sz w:val="20"/>
          <w:szCs w:val="20"/>
        </w:rPr>
        <w:br/>
      </w:r>
      <w:r w:rsidRPr="00205995">
        <w:rPr>
          <w:rFonts w:ascii="Arial" w:eastAsia="Times New Roman" w:hAnsi="Arial" w:cs="Arial"/>
          <w:b/>
          <w:bCs/>
          <w:sz w:val="20"/>
          <w:szCs w:val="20"/>
        </w:rPr>
        <w:t>Affiliation:</w:t>
      </w:r>
      <w:r w:rsidRPr="00205995">
        <w:rPr>
          <w:rFonts w:ascii="Arial" w:eastAsia="Times New Roman" w:hAnsi="Arial" w:cs="Arial"/>
          <w:sz w:val="20"/>
          <w:szCs w:val="20"/>
        </w:rPr>
        <w:t xml:space="preserve"> </w:t>
      </w:r>
      <w:r w:rsidRPr="00205995">
        <w:rPr>
          <w:rFonts w:ascii="Arial" w:eastAsia="Times New Roman" w:hAnsi="Arial" w:cs="Arial"/>
          <w:i/>
          <w:iCs/>
          <w:sz w:val="20"/>
          <w:szCs w:val="20"/>
        </w:rPr>
        <w:t>[Your Institution/Laboratory Name, City, State - Optional]</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Subject:</w:t>
      </w:r>
      <w:r w:rsidRPr="00205995">
        <w:rPr>
          <w:rFonts w:ascii="Arial" w:eastAsia="Times New Roman" w:hAnsi="Arial" w:cs="Arial"/>
          <w:sz w:val="20"/>
          <w:szCs w:val="20"/>
        </w:rPr>
        <w:t xml:space="preserve"> Comment in Support of Formally Recognizing </w:t>
      </w:r>
      <w:proofErr w:type="gramStart"/>
      <w:r w:rsidRPr="00205995">
        <w:rPr>
          <w:rFonts w:ascii="Arial" w:eastAsia="Times New Roman" w:hAnsi="Arial" w:cs="Arial"/>
          <w:sz w:val="20"/>
          <w:szCs w:val="20"/>
        </w:rPr>
        <w:t>PA(</w:t>
      </w:r>
      <w:proofErr w:type="gramEnd"/>
      <w:r w:rsidRPr="00205995">
        <w:rPr>
          <w:rFonts w:ascii="Arial" w:eastAsia="Times New Roman" w:hAnsi="Arial" w:cs="Arial"/>
          <w:sz w:val="20"/>
          <w:szCs w:val="20"/>
        </w:rPr>
        <w:t>ASCP) Certification and Distinct Profession-Specific Standards for Anatomic Pathology / High-Complexity Testing Personnel under File Code CMS-3478-P</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To Whom It May Concern:</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sz w:val="20"/>
          <w:szCs w:val="20"/>
        </w:rPr>
        <w:t>I am writing as a ce</w:t>
      </w:r>
      <w:r>
        <w:rPr>
          <w:rFonts w:ascii="Arial" w:eastAsia="Times New Roman" w:hAnsi="Arial" w:cs="Arial"/>
          <w:sz w:val="20"/>
          <w:szCs w:val="20"/>
        </w:rPr>
        <w:t xml:space="preserve">rtified Pathologists' Assistant, PA(ASCP) </w:t>
      </w:r>
      <w:r w:rsidRPr="00205995">
        <w:rPr>
          <w:rFonts w:ascii="Arial" w:eastAsia="Times New Roman" w:hAnsi="Arial" w:cs="Arial"/>
          <w:sz w:val="20"/>
          <w:szCs w:val="20"/>
        </w:rPr>
        <w:t xml:space="preserve">to provide formal public comment regarding the proposed rule changing the Clinical Laboratory Improvement Amendments (CLIA) personnel qualification regulations (Docket ID: CMS-2026-3235 / File Code: CMS-3478-P). Specifically, I strongly urge the Centers for Medicare &amp; Medicaid Services (CMS) and the Centers for Disease Control and Prevention (CDC) to explicitly recognize the </w:t>
      </w:r>
      <w:proofErr w:type="gramStart"/>
      <w:r w:rsidRPr="00205995">
        <w:rPr>
          <w:rFonts w:ascii="Arial" w:eastAsia="Times New Roman" w:hAnsi="Arial" w:cs="Arial"/>
          <w:b/>
          <w:bCs/>
          <w:sz w:val="20"/>
          <w:szCs w:val="20"/>
        </w:rPr>
        <w:t>PA(</w:t>
      </w:r>
      <w:proofErr w:type="gramEnd"/>
      <w:r w:rsidRPr="00205995">
        <w:rPr>
          <w:rFonts w:ascii="Arial" w:eastAsia="Times New Roman" w:hAnsi="Arial" w:cs="Arial"/>
          <w:b/>
          <w:bCs/>
          <w:sz w:val="20"/>
          <w:szCs w:val="20"/>
        </w:rPr>
        <w:t>ASCP) / PA(ASCP)</w:t>
      </w:r>
      <w:r w:rsidRPr="00205995">
        <w:rPr>
          <w:rFonts w:ascii="Arial" w:eastAsia="Times New Roman" w:hAnsi="Arial" w:cs="Arial"/>
          <w:b/>
          <w:bCs/>
          <w:sz w:val="20"/>
          <w:szCs w:val="20"/>
          <w:vertAlign w:val="superscript"/>
        </w:rPr>
        <w:t>CM</w:t>
      </w:r>
      <w:r w:rsidRPr="00205995">
        <w:rPr>
          <w:rFonts w:ascii="Arial" w:eastAsia="Times New Roman" w:hAnsi="Arial" w:cs="Arial"/>
          <w:sz w:val="20"/>
          <w:szCs w:val="20"/>
        </w:rPr>
        <w:t xml:space="preserve"> credential and establish a distinct, formal category for Pathologists’ Assistants within the text governing high-complexity testing personnel.</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1. Elevating Patient Safety through Standardized, Specialized Education</w:t>
      </w:r>
      <w:r w:rsidRPr="00205995">
        <w:rPr>
          <w:rFonts w:ascii="Arial" w:eastAsia="Times New Roman" w:hAnsi="Arial" w:cs="Arial"/>
          <w:sz w:val="20"/>
          <w:szCs w:val="20"/>
        </w:rPr>
        <w:br/>
        <w:t>Under current, outdated CLIA text, the minimum baseline requirement to perform macroscopic tissue examination (grossing) on complex human specimens is merely an associate degree with basic science credits. This standard is no longer adequate for modern anatomic pathology.</w:t>
      </w:r>
    </w:p>
    <w:p w:rsidR="00205995" w:rsidRPr="00205995" w:rsidRDefault="00205995" w:rsidP="00205995">
      <w:pPr>
        <w:numPr>
          <w:ilvl w:val="0"/>
          <w:numId w:val="1"/>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 xml:space="preserve">To earn the </w:t>
      </w:r>
      <w:proofErr w:type="gramStart"/>
      <w:r w:rsidRPr="00205995">
        <w:rPr>
          <w:rFonts w:ascii="Arial" w:eastAsia="Times New Roman" w:hAnsi="Arial" w:cs="Arial"/>
          <w:sz w:val="20"/>
          <w:szCs w:val="20"/>
        </w:rPr>
        <w:t>PA(</w:t>
      </w:r>
      <w:proofErr w:type="gramEnd"/>
      <w:r w:rsidRPr="00205995">
        <w:rPr>
          <w:rFonts w:ascii="Arial" w:eastAsia="Times New Roman" w:hAnsi="Arial" w:cs="Arial"/>
          <w:sz w:val="20"/>
          <w:szCs w:val="20"/>
        </w:rPr>
        <w:t>ASCP) credential, an individual must graduate from a NAACLS-accredited program and hold a Baccalaureate or Master’s degree explicitly structured around advanced pathology, human anatomy, and selective tissue sampling.</w:t>
      </w:r>
    </w:p>
    <w:p w:rsidR="00205995" w:rsidRPr="00205995" w:rsidRDefault="00205995" w:rsidP="00205995">
      <w:pPr>
        <w:numPr>
          <w:ilvl w:val="0"/>
          <w:numId w:val="1"/>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 xml:space="preserve">Codifying the </w:t>
      </w:r>
      <w:proofErr w:type="gramStart"/>
      <w:r w:rsidRPr="00205995">
        <w:rPr>
          <w:rFonts w:ascii="Arial" w:eastAsia="Times New Roman" w:hAnsi="Arial" w:cs="Arial"/>
          <w:sz w:val="20"/>
          <w:szCs w:val="20"/>
        </w:rPr>
        <w:t>PA(</w:t>
      </w:r>
      <w:proofErr w:type="gramEnd"/>
      <w:r w:rsidRPr="00205995">
        <w:rPr>
          <w:rFonts w:ascii="Arial" w:eastAsia="Times New Roman" w:hAnsi="Arial" w:cs="Arial"/>
          <w:sz w:val="20"/>
          <w:szCs w:val="20"/>
        </w:rPr>
        <w:t>ASCP) pathway within CLIA creates an appropriate regulatory floor that reflects the actual clinical risk and technical precision required in gross dissection.</w:t>
      </w:r>
    </w:p>
    <w:p w:rsidR="00205995" w:rsidRPr="00205995" w:rsidRDefault="00205995" w:rsidP="00205995">
      <w:pPr>
        <w:numPr>
          <w:ilvl w:val="0"/>
          <w:numId w:val="1"/>
        </w:numPr>
        <w:spacing w:after="0" w:line="240" w:lineRule="auto"/>
        <w:ind w:left="0"/>
        <w:rPr>
          <w:rFonts w:ascii="Arial" w:eastAsia="Times New Roman" w:hAnsi="Arial" w:cs="Arial"/>
          <w:sz w:val="20"/>
          <w:szCs w:val="20"/>
        </w:rPr>
      </w:pPr>
      <w:r w:rsidRPr="00205995">
        <w:rPr>
          <w:rFonts w:ascii="Arial" w:eastAsia="Times New Roman" w:hAnsi="Arial" w:cs="Arial"/>
          <w:i/>
          <w:iCs/>
          <w:sz w:val="20"/>
          <w:szCs w:val="20"/>
        </w:rPr>
        <w:t>[Optional: Insert 1–2 sentences here detailing your personal caseload or daily responsibilities, e.g., "In my daily practice at a high-volume center, I evaluate over X complex cancer resections annually...</w:t>
      </w:r>
      <w:proofErr w:type="gramStart"/>
      <w:r w:rsidRPr="00205995">
        <w:rPr>
          <w:rFonts w:ascii="Arial" w:eastAsia="Times New Roman" w:hAnsi="Arial" w:cs="Arial"/>
          <w:i/>
          <w:iCs/>
          <w:sz w:val="20"/>
          <w:szCs w:val="20"/>
        </w:rPr>
        <w:t>" ]</w:t>
      </w:r>
      <w:proofErr w:type="gramEnd"/>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2. Supporting CMS Primary Source Verification (PSV) Mandates</w:t>
      </w:r>
      <w:r w:rsidRPr="00205995">
        <w:rPr>
          <w:rFonts w:ascii="Arial" w:eastAsia="Times New Roman" w:hAnsi="Arial" w:cs="Arial"/>
          <w:sz w:val="20"/>
          <w:szCs w:val="20"/>
        </w:rPr>
        <w:br/>
        <w:t>Recent CLIA updates strictly enforce independent, third-party verification of personnel training logs and transcript histories.</w:t>
      </w:r>
    </w:p>
    <w:p w:rsidR="00205995" w:rsidRPr="00205995" w:rsidRDefault="00205995" w:rsidP="00205995">
      <w:pPr>
        <w:numPr>
          <w:ilvl w:val="0"/>
          <w:numId w:val="2"/>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The ASCP Board of Certification (BOC) acts as a rigorous, centralized primary source verification entity.</w:t>
      </w:r>
    </w:p>
    <w:p w:rsidR="00205995" w:rsidRPr="00205995" w:rsidRDefault="00205995" w:rsidP="00205995">
      <w:pPr>
        <w:numPr>
          <w:ilvl w:val="0"/>
          <w:numId w:val="2"/>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 xml:space="preserve">By explicitly listing </w:t>
      </w:r>
      <w:proofErr w:type="gramStart"/>
      <w:r w:rsidRPr="00205995">
        <w:rPr>
          <w:rFonts w:ascii="Arial" w:eastAsia="Times New Roman" w:hAnsi="Arial" w:cs="Arial"/>
          <w:sz w:val="20"/>
          <w:szCs w:val="20"/>
        </w:rPr>
        <w:t>PA(</w:t>
      </w:r>
      <w:proofErr w:type="gramEnd"/>
      <w:r w:rsidRPr="00205995">
        <w:rPr>
          <w:rFonts w:ascii="Arial" w:eastAsia="Times New Roman" w:hAnsi="Arial" w:cs="Arial"/>
          <w:sz w:val="20"/>
          <w:szCs w:val="20"/>
        </w:rPr>
        <w:t>ASCP) certification as a qualifying metric within CLIA subparts, CMS can streamline the inspection process. Laboratory inspectors can instantly verify an individual's academic, clinical, and hands-on compliance simply by confirming their active ASCP registry status.</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3. Rectifying the Omission of Profession-Specific Standards</w:t>
      </w:r>
      <w:r w:rsidRPr="00205995">
        <w:rPr>
          <w:rFonts w:ascii="Arial" w:eastAsia="Times New Roman" w:hAnsi="Arial" w:cs="Arial"/>
          <w:sz w:val="20"/>
          <w:szCs w:val="20"/>
        </w:rPr>
        <w:br/>
      </w:r>
      <w:proofErr w:type="gramStart"/>
      <w:r w:rsidRPr="00205995">
        <w:rPr>
          <w:rFonts w:ascii="Arial" w:eastAsia="Times New Roman" w:hAnsi="Arial" w:cs="Arial"/>
          <w:sz w:val="20"/>
          <w:szCs w:val="20"/>
        </w:rPr>
        <w:t>While</w:t>
      </w:r>
      <w:proofErr w:type="gramEnd"/>
      <w:r w:rsidRPr="00205995">
        <w:rPr>
          <w:rFonts w:ascii="Arial" w:eastAsia="Times New Roman" w:hAnsi="Arial" w:cs="Arial"/>
          <w:sz w:val="20"/>
          <w:szCs w:val="20"/>
        </w:rPr>
        <w:t xml:space="preserve"> recent updates have appropriately clarified guidelines for Laboratory Directors and Technical Consultants, Pathologists' Assistants remain broadly categorized under generic "high-complexity testing personnel."</w:t>
      </w:r>
    </w:p>
    <w:p w:rsidR="00205995" w:rsidRPr="00205995" w:rsidRDefault="00205995" w:rsidP="00205995">
      <w:pPr>
        <w:numPr>
          <w:ilvl w:val="0"/>
          <w:numId w:val="3"/>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This lack of distinction creates hiring ambiguity, compromises workflow efficiency, and burdens laboratories with interpreting whether standard science degrees meet the specialized needs of surgical pathology.</w:t>
      </w:r>
    </w:p>
    <w:p w:rsidR="00205995" w:rsidRPr="00205995" w:rsidRDefault="00205995" w:rsidP="00205995">
      <w:pPr>
        <w:numPr>
          <w:ilvl w:val="0"/>
          <w:numId w:val="3"/>
        </w:numPr>
        <w:spacing w:after="0" w:line="240" w:lineRule="auto"/>
        <w:ind w:left="0"/>
        <w:rPr>
          <w:rFonts w:ascii="Arial" w:eastAsia="Times New Roman" w:hAnsi="Arial" w:cs="Arial"/>
          <w:sz w:val="20"/>
          <w:szCs w:val="20"/>
        </w:rPr>
      </w:pPr>
      <w:r w:rsidRPr="00205995">
        <w:rPr>
          <w:rFonts w:ascii="Arial" w:eastAsia="Times New Roman" w:hAnsi="Arial" w:cs="Arial"/>
          <w:sz w:val="20"/>
          <w:szCs w:val="20"/>
        </w:rPr>
        <w:t>Formally distinguishing Pathologists' Assistants from clinical bench technicians ensures the law accurately reflects distinct laboratory workflows.</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b/>
          <w:bCs/>
          <w:sz w:val="20"/>
          <w:szCs w:val="20"/>
        </w:rPr>
        <w:t>Conclusion</w:t>
      </w:r>
      <w:r w:rsidRPr="00205995">
        <w:rPr>
          <w:rFonts w:ascii="Arial" w:eastAsia="Times New Roman" w:hAnsi="Arial" w:cs="Arial"/>
          <w:sz w:val="20"/>
          <w:szCs w:val="20"/>
        </w:rPr>
        <w:br/>
        <w:t xml:space="preserve">Modernizing CLIA requires moving past the 1988 baseline to acknowledge the evolution of laboratory professions. Formally recognizing the </w:t>
      </w:r>
      <w:proofErr w:type="gramStart"/>
      <w:r w:rsidRPr="00205995">
        <w:rPr>
          <w:rFonts w:ascii="Arial" w:eastAsia="Times New Roman" w:hAnsi="Arial" w:cs="Arial"/>
          <w:b/>
          <w:bCs/>
          <w:sz w:val="20"/>
          <w:szCs w:val="20"/>
        </w:rPr>
        <w:t>PA(</w:t>
      </w:r>
      <w:proofErr w:type="gramEnd"/>
      <w:r w:rsidRPr="00205995">
        <w:rPr>
          <w:rFonts w:ascii="Arial" w:eastAsia="Times New Roman" w:hAnsi="Arial" w:cs="Arial"/>
          <w:b/>
          <w:bCs/>
          <w:sz w:val="20"/>
          <w:szCs w:val="20"/>
        </w:rPr>
        <w:t>ASCP)</w:t>
      </w:r>
      <w:r w:rsidRPr="00205995">
        <w:rPr>
          <w:rFonts w:ascii="Arial" w:eastAsia="Times New Roman" w:hAnsi="Arial" w:cs="Arial"/>
          <w:sz w:val="20"/>
          <w:szCs w:val="20"/>
        </w:rPr>
        <w:t xml:space="preserve"> certification within federal regulations will guarantee that high-complexity anatomic pathology testing is directed by appropriately educated, verified professionals, ultimately safeguarding patient care.</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sz w:val="20"/>
          <w:szCs w:val="20"/>
        </w:rPr>
        <w:t>Thank you for your time, consideration, and dedication to maintaining the highest standards of laboratory excellence.</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sz w:val="20"/>
          <w:szCs w:val="20"/>
        </w:rPr>
        <w:t>Sincerely,</w:t>
      </w:r>
    </w:p>
    <w:p w:rsidR="00205995" w:rsidRPr="00205995" w:rsidRDefault="00205995" w:rsidP="00205995">
      <w:pPr>
        <w:spacing w:line="240" w:lineRule="auto"/>
        <w:rPr>
          <w:rFonts w:ascii="Arial" w:eastAsia="Times New Roman" w:hAnsi="Arial" w:cs="Arial"/>
          <w:sz w:val="20"/>
          <w:szCs w:val="20"/>
        </w:rPr>
      </w:pPr>
      <w:r w:rsidRPr="00205995">
        <w:rPr>
          <w:rFonts w:ascii="Arial" w:eastAsia="Times New Roman" w:hAnsi="Arial" w:cs="Arial"/>
          <w:i/>
          <w:iCs/>
          <w:sz w:val="20"/>
          <w:szCs w:val="20"/>
        </w:rPr>
        <w:t>[</w:t>
      </w:r>
      <w:proofErr w:type="gramStart"/>
      <w:r w:rsidRPr="00205995">
        <w:rPr>
          <w:rFonts w:ascii="Arial" w:eastAsia="Times New Roman" w:hAnsi="Arial" w:cs="Arial"/>
          <w:i/>
          <w:iCs/>
          <w:sz w:val="20"/>
          <w:szCs w:val="20"/>
        </w:rPr>
        <w:t>Your</w:t>
      </w:r>
      <w:proofErr w:type="gramEnd"/>
      <w:r w:rsidRPr="00205995">
        <w:rPr>
          <w:rFonts w:ascii="Arial" w:eastAsia="Times New Roman" w:hAnsi="Arial" w:cs="Arial"/>
          <w:i/>
          <w:iCs/>
          <w:sz w:val="20"/>
          <w:szCs w:val="20"/>
        </w:rPr>
        <w:t xml:space="preserve"> Signature]</w:t>
      </w:r>
      <w:r w:rsidRPr="00205995">
        <w:rPr>
          <w:rFonts w:ascii="Arial" w:eastAsia="Times New Roman" w:hAnsi="Arial" w:cs="Arial"/>
          <w:sz w:val="20"/>
          <w:szCs w:val="20"/>
        </w:rPr>
        <w:br/>
      </w:r>
      <w:r w:rsidRPr="00205995">
        <w:rPr>
          <w:rFonts w:ascii="Arial" w:eastAsia="Times New Roman" w:hAnsi="Arial" w:cs="Arial"/>
          <w:i/>
          <w:iCs/>
          <w:sz w:val="20"/>
          <w:szCs w:val="20"/>
        </w:rPr>
        <w:t>[Your Printed Name]</w:t>
      </w:r>
      <w:r w:rsidRPr="00205995">
        <w:rPr>
          <w:rFonts w:ascii="Arial" w:eastAsia="Times New Roman" w:hAnsi="Arial" w:cs="Arial"/>
          <w:sz w:val="20"/>
          <w:szCs w:val="20"/>
        </w:rPr>
        <w:br/>
      </w:r>
      <w:r w:rsidRPr="00205995">
        <w:rPr>
          <w:rFonts w:ascii="Arial" w:eastAsia="Times New Roman" w:hAnsi="Arial" w:cs="Arial"/>
          <w:i/>
          <w:iCs/>
          <w:sz w:val="20"/>
          <w:szCs w:val="20"/>
        </w:rPr>
        <w:t>[</w:t>
      </w:r>
      <w:proofErr w:type="gramStart"/>
      <w:r w:rsidRPr="00205995">
        <w:rPr>
          <w:rFonts w:ascii="Arial" w:eastAsia="Times New Roman" w:hAnsi="Arial" w:cs="Arial"/>
          <w:i/>
          <w:iCs/>
          <w:sz w:val="20"/>
          <w:szCs w:val="20"/>
        </w:rPr>
        <w:t>Your</w:t>
      </w:r>
      <w:proofErr w:type="gramEnd"/>
      <w:r w:rsidRPr="00205995">
        <w:rPr>
          <w:rFonts w:ascii="Arial" w:eastAsia="Times New Roman" w:hAnsi="Arial" w:cs="Arial"/>
          <w:i/>
          <w:iCs/>
          <w:sz w:val="20"/>
          <w:szCs w:val="20"/>
        </w:rPr>
        <w:t xml:space="preserve"> Contact Information]</w:t>
      </w:r>
    </w:p>
    <w:p w:rsidR="00C12C68" w:rsidRPr="00205995" w:rsidRDefault="00C12C68">
      <w:pPr>
        <w:rPr>
          <w:sz w:val="20"/>
          <w:szCs w:val="20"/>
        </w:rPr>
      </w:pPr>
    </w:p>
    <w:sectPr w:rsidR="00C12C68" w:rsidRPr="00205995" w:rsidSect="0020599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D2F5B"/>
    <w:multiLevelType w:val="multilevel"/>
    <w:tmpl w:val="E9AE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AA7062"/>
    <w:multiLevelType w:val="multilevel"/>
    <w:tmpl w:val="56F8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243AF"/>
    <w:multiLevelType w:val="multilevel"/>
    <w:tmpl w:val="88802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995"/>
    <w:rsid w:val="00205995"/>
    <w:rsid w:val="00C12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35957"/>
  <w15:chartTrackingRefBased/>
  <w15:docId w15:val="{E36CF47F-3102-4F07-9C79-17539CD8E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05995"/>
    <w:rPr>
      <w:b/>
      <w:bCs/>
    </w:rPr>
  </w:style>
  <w:style w:type="character" w:styleId="Emphasis">
    <w:name w:val="Emphasis"/>
    <w:basedOn w:val="DefaultParagraphFont"/>
    <w:uiPriority w:val="20"/>
    <w:qFormat/>
    <w:rsid w:val="00205995"/>
    <w:rPr>
      <w:i/>
      <w:iCs/>
    </w:rPr>
  </w:style>
  <w:style w:type="character" w:customStyle="1" w:styleId="inqyif">
    <w:name w:val="inqyif"/>
    <w:basedOn w:val="DefaultParagraphFont"/>
    <w:rsid w:val="00205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012139">
      <w:bodyDiv w:val="1"/>
      <w:marLeft w:val="0"/>
      <w:marRight w:val="0"/>
      <w:marTop w:val="0"/>
      <w:marBottom w:val="0"/>
      <w:divBdr>
        <w:top w:val="none" w:sz="0" w:space="0" w:color="auto"/>
        <w:left w:val="none" w:sz="0" w:space="0" w:color="auto"/>
        <w:bottom w:val="none" w:sz="0" w:space="0" w:color="auto"/>
        <w:right w:val="none" w:sz="0" w:space="0" w:color="auto"/>
      </w:divBdr>
      <w:divsChild>
        <w:div w:id="933588666">
          <w:marLeft w:val="0"/>
          <w:marRight w:val="0"/>
          <w:marTop w:val="360"/>
          <w:marBottom w:val="180"/>
          <w:divBdr>
            <w:top w:val="none" w:sz="0" w:space="0" w:color="auto"/>
            <w:left w:val="none" w:sz="0" w:space="0" w:color="auto"/>
            <w:bottom w:val="none" w:sz="0" w:space="0" w:color="auto"/>
            <w:right w:val="none" w:sz="0" w:space="0" w:color="auto"/>
          </w:divBdr>
        </w:div>
        <w:div w:id="1990397933">
          <w:marLeft w:val="0"/>
          <w:marRight w:val="0"/>
          <w:marTop w:val="180"/>
          <w:marBottom w:val="240"/>
          <w:divBdr>
            <w:top w:val="none" w:sz="0" w:space="0" w:color="auto"/>
            <w:left w:val="none" w:sz="0" w:space="0" w:color="auto"/>
            <w:bottom w:val="none" w:sz="0" w:space="0" w:color="auto"/>
            <w:right w:val="none" w:sz="0" w:space="0" w:color="auto"/>
          </w:divBdr>
        </w:div>
        <w:div w:id="115299798">
          <w:marLeft w:val="0"/>
          <w:marRight w:val="0"/>
          <w:marTop w:val="180"/>
          <w:marBottom w:val="240"/>
          <w:divBdr>
            <w:top w:val="none" w:sz="0" w:space="0" w:color="auto"/>
            <w:left w:val="none" w:sz="0" w:space="0" w:color="auto"/>
            <w:bottom w:val="none" w:sz="0" w:space="0" w:color="auto"/>
            <w:right w:val="none" w:sz="0" w:space="0" w:color="auto"/>
          </w:divBdr>
        </w:div>
        <w:div w:id="258367274">
          <w:marLeft w:val="0"/>
          <w:marRight w:val="0"/>
          <w:marTop w:val="180"/>
          <w:marBottom w:val="240"/>
          <w:divBdr>
            <w:top w:val="none" w:sz="0" w:space="0" w:color="auto"/>
            <w:left w:val="none" w:sz="0" w:space="0" w:color="auto"/>
            <w:bottom w:val="none" w:sz="0" w:space="0" w:color="auto"/>
            <w:right w:val="none" w:sz="0" w:space="0" w:color="auto"/>
          </w:divBdr>
        </w:div>
        <w:div w:id="15885948">
          <w:marLeft w:val="0"/>
          <w:marRight w:val="0"/>
          <w:marTop w:val="180"/>
          <w:marBottom w:val="240"/>
          <w:divBdr>
            <w:top w:val="none" w:sz="0" w:space="0" w:color="auto"/>
            <w:left w:val="none" w:sz="0" w:space="0" w:color="auto"/>
            <w:bottom w:val="none" w:sz="0" w:space="0" w:color="auto"/>
            <w:right w:val="none" w:sz="0" w:space="0" w:color="auto"/>
          </w:divBdr>
        </w:div>
        <w:div w:id="1541741591">
          <w:marLeft w:val="0"/>
          <w:marRight w:val="0"/>
          <w:marTop w:val="180"/>
          <w:marBottom w:val="240"/>
          <w:divBdr>
            <w:top w:val="none" w:sz="0" w:space="0" w:color="auto"/>
            <w:left w:val="none" w:sz="0" w:space="0" w:color="auto"/>
            <w:bottom w:val="none" w:sz="0" w:space="0" w:color="auto"/>
            <w:right w:val="none" w:sz="0" w:space="0" w:color="auto"/>
          </w:divBdr>
        </w:div>
        <w:div w:id="305013459">
          <w:marLeft w:val="0"/>
          <w:marRight w:val="0"/>
          <w:marTop w:val="180"/>
          <w:marBottom w:val="240"/>
          <w:divBdr>
            <w:top w:val="none" w:sz="0" w:space="0" w:color="auto"/>
            <w:left w:val="none" w:sz="0" w:space="0" w:color="auto"/>
            <w:bottom w:val="none" w:sz="0" w:space="0" w:color="auto"/>
            <w:right w:val="none" w:sz="0" w:space="0" w:color="auto"/>
          </w:divBdr>
        </w:div>
        <w:div w:id="11734332">
          <w:marLeft w:val="0"/>
          <w:marRight w:val="0"/>
          <w:marTop w:val="180"/>
          <w:marBottom w:val="240"/>
          <w:divBdr>
            <w:top w:val="none" w:sz="0" w:space="0" w:color="auto"/>
            <w:left w:val="none" w:sz="0" w:space="0" w:color="auto"/>
            <w:bottom w:val="none" w:sz="0" w:space="0" w:color="auto"/>
            <w:right w:val="none" w:sz="0" w:space="0" w:color="auto"/>
          </w:divBdr>
        </w:div>
        <w:div w:id="557517934">
          <w:marLeft w:val="0"/>
          <w:marRight w:val="0"/>
          <w:marTop w:val="180"/>
          <w:marBottom w:val="240"/>
          <w:divBdr>
            <w:top w:val="none" w:sz="0" w:space="0" w:color="auto"/>
            <w:left w:val="none" w:sz="0" w:space="0" w:color="auto"/>
            <w:bottom w:val="none" w:sz="0" w:space="0" w:color="auto"/>
            <w:right w:val="none" w:sz="0" w:space="0" w:color="auto"/>
          </w:divBdr>
        </w:div>
        <w:div w:id="1538815947">
          <w:marLeft w:val="0"/>
          <w:marRight w:val="0"/>
          <w:marTop w:val="180"/>
          <w:marBottom w:val="240"/>
          <w:divBdr>
            <w:top w:val="none" w:sz="0" w:space="0" w:color="auto"/>
            <w:left w:val="none" w:sz="0" w:space="0" w:color="auto"/>
            <w:bottom w:val="none" w:sz="0" w:space="0" w:color="auto"/>
            <w:right w:val="none" w:sz="0" w:space="0" w:color="auto"/>
          </w:divBdr>
        </w:div>
        <w:div w:id="1231307097">
          <w:marLeft w:val="0"/>
          <w:marRight w:val="0"/>
          <w:marTop w:val="180"/>
          <w:marBottom w:val="240"/>
          <w:divBdr>
            <w:top w:val="none" w:sz="0" w:space="0" w:color="auto"/>
            <w:left w:val="none" w:sz="0" w:space="0" w:color="auto"/>
            <w:bottom w:val="none" w:sz="0" w:space="0" w:color="auto"/>
            <w:right w:val="none" w:sz="0" w:space="0" w:color="auto"/>
          </w:divBdr>
        </w:div>
        <w:div w:id="556402606">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UT Southwestern Medical Center</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Hollis Notgrass</dc:creator>
  <cp:keywords/>
  <dc:description/>
  <cp:lastModifiedBy>Hollis Notgrass</cp:lastModifiedBy>
  <cp:revision>1</cp:revision>
  <dcterms:created xsi:type="dcterms:W3CDTF">2026-10-13T19:06:00Z</dcterms:created>
  <dcterms:modified xsi:type="dcterms:W3CDTF">2026-10-13T19:08:00Z</dcterms:modified>
</cp:coreProperties>
</file>